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B6B" w:rsidRDefault="00482401" w:rsidP="002D48FF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HTL</w:t>
      </w:r>
      <w:r w:rsidR="002D48FF" w:rsidRPr="00C55D7F">
        <w:rPr>
          <w:b/>
          <w:sz w:val="32"/>
        </w:rPr>
        <w:t xml:space="preserve"> Program Outcomes Measured</w:t>
      </w:r>
    </w:p>
    <w:p w:rsidR="00C55D7F" w:rsidRPr="00C55D7F" w:rsidRDefault="00C55D7F" w:rsidP="002D48FF">
      <w:pPr>
        <w:jc w:val="center"/>
        <w:rPr>
          <w:b/>
          <w:sz w:val="32"/>
        </w:rPr>
      </w:pPr>
    </w:p>
    <w:p w:rsidR="002D48FF" w:rsidRPr="00C55D7F" w:rsidRDefault="002D48FF" w:rsidP="002D48FF">
      <w:pPr>
        <w:spacing w:after="0" w:line="240" w:lineRule="auto"/>
        <w:rPr>
          <w:sz w:val="28"/>
        </w:rPr>
      </w:pPr>
      <w:r w:rsidRPr="00C55D7F">
        <w:rPr>
          <w:b/>
          <w:bCs/>
          <w:sz w:val="28"/>
        </w:rPr>
        <w:t>Certification Examination Pass Rate*</w:t>
      </w:r>
    </w:p>
    <w:p w:rsidR="002D48FF" w:rsidRPr="00C55D7F" w:rsidRDefault="002D48FF" w:rsidP="002D48FF">
      <w:pPr>
        <w:spacing w:after="0" w:line="240" w:lineRule="auto"/>
        <w:rPr>
          <w:sz w:val="24"/>
        </w:rPr>
      </w:pPr>
      <w:r w:rsidRPr="00C55D7F">
        <w:rPr>
          <w:sz w:val="24"/>
        </w:rPr>
        <w:t xml:space="preserve">The following table shows the pass rate for those who take the ASCP BOC </w:t>
      </w:r>
      <w:r w:rsidR="00256B40">
        <w:rPr>
          <w:sz w:val="24"/>
        </w:rPr>
        <w:t>HTL</w:t>
      </w:r>
      <w:r w:rsidRPr="00C55D7F">
        <w:rPr>
          <w:sz w:val="24"/>
        </w:rPr>
        <w:t xml:space="preserve"> exam within the first year of graduation.</w:t>
      </w:r>
    </w:p>
    <w:tbl>
      <w:tblPr>
        <w:tblW w:w="132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63"/>
        <w:gridCol w:w="3729"/>
        <w:gridCol w:w="3969"/>
        <w:gridCol w:w="3959"/>
      </w:tblGrid>
      <w:tr w:rsidR="002D48FF" w:rsidRPr="002D48FF" w:rsidTr="00AA4FB3">
        <w:trPr>
          <w:trHeight w:val="438"/>
        </w:trPr>
        <w:tc>
          <w:tcPr>
            <w:tcW w:w="15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8FF" w:rsidRPr="002D48FF" w:rsidRDefault="002D48FF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 w:rsidRPr="002D48FF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6"/>
              </w:rPr>
              <w:t>Class Of May</w:t>
            </w:r>
          </w:p>
        </w:tc>
        <w:tc>
          <w:tcPr>
            <w:tcW w:w="37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8FF" w:rsidRPr="002D48FF" w:rsidRDefault="002D48FF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 w:rsidRPr="002D48FF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6"/>
              </w:rPr>
              <w:t>Number of Graduates Attempting Exam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8FF" w:rsidRPr="002D48FF" w:rsidRDefault="002D48FF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 w:rsidRPr="002D48FF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6"/>
              </w:rPr>
              <w:t>Number of Graduates Passing Exam</w:t>
            </w:r>
          </w:p>
        </w:tc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8FF" w:rsidRPr="002D48FF" w:rsidRDefault="002D48FF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 w:rsidRPr="002D48FF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6"/>
              </w:rPr>
              <w:t>Pass Rate %</w:t>
            </w:r>
          </w:p>
        </w:tc>
      </w:tr>
      <w:tr w:rsidR="002D48FF" w:rsidRPr="002D48FF" w:rsidTr="00C90915">
        <w:trPr>
          <w:trHeight w:val="438"/>
        </w:trPr>
        <w:tc>
          <w:tcPr>
            <w:tcW w:w="15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8FF" w:rsidRPr="002D48FF" w:rsidRDefault="002D48FF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 w:rsidRPr="002D48F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6"/>
              </w:rPr>
              <w:t>2016</w:t>
            </w:r>
          </w:p>
        </w:tc>
        <w:tc>
          <w:tcPr>
            <w:tcW w:w="37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48FF" w:rsidRPr="002D48FF" w:rsidRDefault="00C90915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5</w:t>
            </w:r>
          </w:p>
        </w:tc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48FF" w:rsidRPr="002D48FF" w:rsidRDefault="00C90915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5</w:t>
            </w:r>
          </w:p>
        </w:tc>
        <w:tc>
          <w:tcPr>
            <w:tcW w:w="39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48FF" w:rsidRPr="002D48FF" w:rsidRDefault="00C90915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100</w:t>
            </w:r>
          </w:p>
        </w:tc>
      </w:tr>
      <w:tr w:rsidR="002D48FF" w:rsidRPr="002D48FF" w:rsidTr="00C90915">
        <w:trPr>
          <w:trHeight w:val="438"/>
        </w:trPr>
        <w:tc>
          <w:tcPr>
            <w:tcW w:w="15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8FF" w:rsidRPr="002D48FF" w:rsidRDefault="002D48FF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 w:rsidRPr="002D48F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6"/>
              </w:rPr>
              <w:t>2017</w:t>
            </w:r>
          </w:p>
        </w:tc>
        <w:tc>
          <w:tcPr>
            <w:tcW w:w="3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48FF" w:rsidRPr="002D48FF" w:rsidRDefault="00C90915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4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48FF" w:rsidRPr="002D48FF" w:rsidRDefault="00C90915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4</w:t>
            </w:r>
          </w:p>
        </w:tc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48FF" w:rsidRPr="002D48FF" w:rsidRDefault="00C90915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100</w:t>
            </w:r>
          </w:p>
        </w:tc>
      </w:tr>
      <w:tr w:rsidR="002D48FF" w:rsidRPr="002D48FF" w:rsidTr="00C90915">
        <w:trPr>
          <w:trHeight w:val="438"/>
        </w:trPr>
        <w:tc>
          <w:tcPr>
            <w:tcW w:w="15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8FF" w:rsidRPr="002D48FF" w:rsidRDefault="002D48FF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 w:rsidRPr="002D48F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6"/>
              </w:rPr>
              <w:t>2018</w:t>
            </w:r>
          </w:p>
        </w:tc>
        <w:tc>
          <w:tcPr>
            <w:tcW w:w="3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48FF" w:rsidRPr="002D48FF" w:rsidRDefault="00C90915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6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48FF" w:rsidRPr="002D48FF" w:rsidRDefault="00C90915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5</w:t>
            </w:r>
          </w:p>
        </w:tc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48FF" w:rsidRPr="002D48FF" w:rsidRDefault="00C90915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83</w:t>
            </w:r>
          </w:p>
        </w:tc>
      </w:tr>
      <w:tr w:rsidR="002D48FF" w:rsidRPr="002D48FF" w:rsidTr="00AA4FB3">
        <w:trPr>
          <w:trHeight w:val="438"/>
        </w:trPr>
        <w:tc>
          <w:tcPr>
            <w:tcW w:w="1322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8FF" w:rsidRPr="002D48FF" w:rsidRDefault="002D48FF" w:rsidP="002D48FF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6"/>
              </w:rPr>
            </w:pPr>
            <w:r w:rsidRPr="002D48F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6"/>
              </w:rPr>
              <w:t>T</w:t>
            </w:r>
            <w:r w:rsidR="00C9091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6"/>
              </w:rPr>
              <w:t>hree Year Average Pass Rate = 93</w:t>
            </w:r>
            <w:r w:rsidRPr="002D48F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6"/>
              </w:rPr>
              <w:t>%</w:t>
            </w:r>
          </w:p>
        </w:tc>
      </w:tr>
    </w:tbl>
    <w:p w:rsidR="002D48FF" w:rsidRPr="002D48FF" w:rsidRDefault="002D48FF" w:rsidP="002D48FF">
      <w:pPr>
        <w:rPr>
          <w:sz w:val="24"/>
        </w:rPr>
      </w:pPr>
      <w:r>
        <w:rPr>
          <w:rFonts w:cs="Arial"/>
          <w:color w:val="2C2A29"/>
          <w:sz w:val="26"/>
          <w:szCs w:val="26"/>
          <w:shd w:val="clear" w:color="auto" w:fill="FFFFFF"/>
        </w:rPr>
        <w:t>*Data presented as defined by NAACLS standards</w:t>
      </w:r>
    </w:p>
    <w:p w:rsidR="002D48FF" w:rsidRDefault="002D48FF" w:rsidP="002D48F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C2A29"/>
          <w:sz w:val="26"/>
          <w:szCs w:val="26"/>
          <w:bdr w:val="none" w:sz="0" w:space="0" w:color="auto" w:frame="1"/>
        </w:rPr>
      </w:pPr>
    </w:p>
    <w:p w:rsidR="002D48FF" w:rsidRPr="00C55D7F" w:rsidRDefault="002D48FF" w:rsidP="002D48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8"/>
          <w:szCs w:val="26"/>
        </w:rPr>
      </w:pPr>
      <w:r w:rsidRPr="00C55D7F">
        <w:rPr>
          <w:rStyle w:val="Strong"/>
          <w:rFonts w:ascii="Arial" w:hAnsi="Arial" w:cs="Arial"/>
          <w:color w:val="2C2A29"/>
          <w:sz w:val="28"/>
          <w:szCs w:val="26"/>
          <w:bdr w:val="none" w:sz="0" w:space="0" w:color="auto" w:frame="1"/>
        </w:rPr>
        <w:t>Graduation Rates*</w:t>
      </w:r>
    </w:p>
    <w:p w:rsidR="002D48FF" w:rsidRDefault="002D48FF" w:rsidP="002D48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Cs w:val="26"/>
        </w:rPr>
      </w:pPr>
      <w:r w:rsidRPr="002D48FF">
        <w:rPr>
          <w:rFonts w:ascii="Arial" w:hAnsi="Arial" w:cs="Arial"/>
          <w:color w:val="2C2A29"/>
          <w:szCs w:val="26"/>
        </w:rPr>
        <w:t xml:space="preserve">The following table shows the number of students who began the final half of the </w:t>
      </w:r>
      <w:r w:rsidR="00256B40">
        <w:rPr>
          <w:rFonts w:ascii="Arial" w:hAnsi="Arial" w:cs="Arial"/>
          <w:color w:val="2C2A29"/>
          <w:szCs w:val="26"/>
        </w:rPr>
        <w:t>HTL</w:t>
      </w:r>
      <w:r w:rsidRPr="002D48FF">
        <w:rPr>
          <w:rFonts w:ascii="Arial" w:hAnsi="Arial" w:cs="Arial"/>
          <w:color w:val="2C2A29"/>
          <w:szCs w:val="26"/>
        </w:rPr>
        <w:t xml:space="preserve"> program (defined by the </w:t>
      </w:r>
      <w:r w:rsidR="00256B40">
        <w:rPr>
          <w:rFonts w:ascii="Arial" w:hAnsi="Arial" w:cs="Arial"/>
          <w:color w:val="2C2A29"/>
          <w:szCs w:val="26"/>
        </w:rPr>
        <w:t>HTL</w:t>
      </w:r>
      <w:r w:rsidRPr="002D48FF">
        <w:rPr>
          <w:rFonts w:ascii="Arial" w:hAnsi="Arial" w:cs="Arial"/>
          <w:color w:val="2C2A29"/>
          <w:szCs w:val="26"/>
        </w:rPr>
        <w:t xml:space="preserve"> Program as those progressing past the second semester of the first year) and graduated.</w:t>
      </w:r>
    </w:p>
    <w:tbl>
      <w:tblPr>
        <w:tblW w:w="132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99"/>
        <w:gridCol w:w="3576"/>
        <w:gridCol w:w="4185"/>
        <w:gridCol w:w="3960"/>
      </w:tblGrid>
      <w:tr w:rsidR="002D48FF" w:rsidRPr="002D48FF" w:rsidTr="00AA4FB3">
        <w:trPr>
          <w:trHeight w:val="399"/>
        </w:trPr>
        <w:tc>
          <w:tcPr>
            <w:tcW w:w="14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8FF" w:rsidRPr="002D48FF" w:rsidRDefault="002D48FF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 w:rsidRPr="002D48F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6"/>
              </w:rPr>
              <w:t>Class Of May</w:t>
            </w:r>
          </w:p>
        </w:tc>
        <w:tc>
          <w:tcPr>
            <w:tcW w:w="35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8FF" w:rsidRPr="002D48FF" w:rsidRDefault="00AA4FB3" w:rsidP="00AA4FB3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 w:rsidRPr="00C55D7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6"/>
              </w:rPr>
              <w:t>Number of S</w:t>
            </w:r>
            <w:r w:rsidR="002D48FF" w:rsidRPr="002D48F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6"/>
              </w:rPr>
              <w:t xml:space="preserve">tudents </w:t>
            </w:r>
            <w:r w:rsidRPr="00C55D7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6"/>
              </w:rPr>
              <w:t>S</w:t>
            </w:r>
            <w:r w:rsidR="002D48FF" w:rsidRPr="002D48F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6"/>
              </w:rPr>
              <w:t xml:space="preserve">tarting </w:t>
            </w:r>
            <w:r w:rsidRPr="00C55D7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6"/>
              </w:rPr>
              <w:t>F</w:t>
            </w:r>
            <w:r w:rsidR="002D48FF" w:rsidRPr="002D48F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6"/>
              </w:rPr>
              <w:t xml:space="preserve">inal </w:t>
            </w:r>
            <w:r w:rsidRPr="00C55D7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6"/>
              </w:rPr>
              <w:t>H</w:t>
            </w:r>
            <w:r w:rsidR="002D48FF" w:rsidRPr="002D48F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6"/>
              </w:rPr>
              <w:t>alf</w:t>
            </w:r>
          </w:p>
        </w:tc>
        <w:tc>
          <w:tcPr>
            <w:tcW w:w="41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8FF" w:rsidRPr="002D48FF" w:rsidRDefault="002D48FF" w:rsidP="00AA4FB3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 w:rsidRPr="002D48F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6"/>
              </w:rPr>
              <w:t xml:space="preserve">Number of </w:t>
            </w:r>
            <w:r w:rsidR="00AA4FB3" w:rsidRPr="00C55D7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6"/>
              </w:rPr>
              <w:t>Students G</w:t>
            </w:r>
            <w:r w:rsidRPr="002D48F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6"/>
              </w:rPr>
              <w:t>raduating</w:t>
            </w:r>
            <w:r w:rsidR="00AA4FB3" w:rsidRPr="00C55D7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6"/>
              </w:rPr>
              <w:t xml:space="preserve"> from Program</w:t>
            </w:r>
          </w:p>
        </w:tc>
        <w:tc>
          <w:tcPr>
            <w:tcW w:w="39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8FF" w:rsidRPr="002D48FF" w:rsidRDefault="002D48FF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 w:rsidRPr="002D48F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6"/>
              </w:rPr>
              <w:t>Graduation Rate</w:t>
            </w:r>
            <w:r w:rsidR="00AA4FB3" w:rsidRPr="00C55D7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6"/>
              </w:rPr>
              <w:t xml:space="preserve"> %</w:t>
            </w:r>
          </w:p>
        </w:tc>
      </w:tr>
      <w:tr w:rsidR="002D48FF" w:rsidRPr="002D48FF" w:rsidTr="00C90915">
        <w:trPr>
          <w:trHeight w:val="399"/>
        </w:trPr>
        <w:tc>
          <w:tcPr>
            <w:tcW w:w="14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8FF" w:rsidRPr="002D48FF" w:rsidRDefault="002D48FF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 w:rsidRPr="002D48FF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6"/>
              </w:rPr>
              <w:t>2017</w:t>
            </w:r>
          </w:p>
        </w:tc>
        <w:tc>
          <w:tcPr>
            <w:tcW w:w="35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48FF" w:rsidRPr="002D48FF" w:rsidRDefault="00C90915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4</w:t>
            </w:r>
          </w:p>
        </w:tc>
        <w:tc>
          <w:tcPr>
            <w:tcW w:w="41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48FF" w:rsidRPr="002D48FF" w:rsidRDefault="00C90915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4</w:t>
            </w:r>
          </w:p>
        </w:tc>
        <w:tc>
          <w:tcPr>
            <w:tcW w:w="39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48FF" w:rsidRPr="002D48FF" w:rsidRDefault="00C90915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100</w:t>
            </w:r>
          </w:p>
        </w:tc>
      </w:tr>
      <w:tr w:rsidR="002D48FF" w:rsidRPr="002D48FF" w:rsidTr="00C90915">
        <w:trPr>
          <w:trHeight w:val="399"/>
        </w:trPr>
        <w:tc>
          <w:tcPr>
            <w:tcW w:w="14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8FF" w:rsidRPr="002D48FF" w:rsidRDefault="002D48FF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 w:rsidRPr="002D48FF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6"/>
              </w:rPr>
              <w:t>2018</w:t>
            </w:r>
          </w:p>
        </w:tc>
        <w:tc>
          <w:tcPr>
            <w:tcW w:w="3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48FF" w:rsidRPr="002D48FF" w:rsidRDefault="00C90915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6</w:t>
            </w:r>
          </w:p>
        </w:tc>
        <w:tc>
          <w:tcPr>
            <w:tcW w:w="4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48FF" w:rsidRPr="002D48FF" w:rsidRDefault="00C90915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6</w:t>
            </w:r>
          </w:p>
        </w:tc>
        <w:tc>
          <w:tcPr>
            <w:tcW w:w="3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48FF" w:rsidRPr="002D48FF" w:rsidRDefault="00C90915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100</w:t>
            </w:r>
          </w:p>
        </w:tc>
      </w:tr>
      <w:tr w:rsidR="002D48FF" w:rsidRPr="002D48FF" w:rsidTr="00C90915">
        <w:trPr>
          <w:trHeight w:val="399"/>
        </w:trPr>
        <w:tc>
          <w:tcPr>
            <w:tcW w:w="14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8FF" w:rsidRPr="002D48FF" w:rsidRDefault="002D48FF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 w:rsidRPr="002D48FF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6"/>
              </w:rPr>
              <w:t>2019</w:t>
            </w:r>
          </w:p>
        </w:tc>
        <w:tc>
          <w:tcPr>
            <w:tcW w:w="3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48FF" w:rsidRPr="002D48FF" w:rsidRDefault="00C90915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5</w:t>
            </w:r>
          </w:p>
        </w:tc>
        <w:tc>
          <w:tcPr>
            <w:tcW w:w="4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48FF" w:rsidRPr="002D48FF" w:rsidRDefault="00C90915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4</w:t>
            </w:r>
          </w:p>
        </w:tc>
        <w:tc>
          <w:tcPr>
            <w:tcW w:w="3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48FF" w:rsidRPr="002D48FF" w:rsidRDefault="00C90915" w:rsidP="002D48FF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80</w:t>
            </w:r>
          </w:p>
        </w:tc>
      </w:tr>
      <w:tr w:rsidR="002D48FF" w:rsidRPr="002D48FF" w:rsidTr="002D48FF">
        <w:trPr>
          <w:trHeight w:val="399"/>
        </w:trPr>
        <w:tc>
          <w:tcPr>
            <w:tcW w:w="1322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8FF" w:rsidRPr="002D48FF" w:rsidRDefault="002D48FF" w:rsidP="002D48FF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6"/>
              </w:rPr>
            </w:pPr>
            <w:r w:rsidRPr="002D48FF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6"/>
              </w:rPr>
              <w:t>Three Y</w:t>
            </w:r>
            <w:r w:rsidR="00C90915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6"/>
              </w:rPr>
              <w:t>ear Average Graduation Rate = 93</w:t>
            </w:r>
            <w:r w:rsidRPr="002D48FF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6"/>
              </w:rPr>
              <w:t>%</w:t>
            </w:r>
          </w:p>
        </w:tc>
      </w:tr>
    </w:tbl>
    <w:p w:rsidR="002D48FF" w:rsidRDefault="002D48FF" w:rsidP="002D48FF">
      <w:pPr>
        <w:rPr>
          <w:rFonts w:cs="Arial"/>
          <w:color w:val="2C2A29"/>
          <w:sz w:val="24"/>
          <w:szCs w:val="26"/>
          <w:shd w:val="clear" w:color="auto" w:fill="FFFFFF"/>
        </w:rPr>
      </w:pPr>
      <w:r w:rsidRPr="002D48FF">
        <w:rPr>
          <w:rFonts w:cs="Arial"/>
          <w:color w:val="2C2A29"/>
          <w:sz w:val="24"/>
          <w:szCs w:val="26"/>
          <w:shd w:val="clear" w:color="auto" w:fill="FFFFFF"/>
        </w:rPr>
        <w:t>*Data presented as defined by NAACLS standards</w:t>
      </w:r>
    </w:p>
    <w:p w:rsidR="00AA4FB3" w:rsidRDefault="00AA4FB3" w:rsidP="002D48FF">
      <w:pPr>
        <w:rPr>
          <w:rFonts w:cs="Arial"/>
          <w:color w:val="2C2A29"/>
          <w:sz w:val="24"/>
          <w:szCs w:val="26"/>
          <w:shd w:val="clear" w:color="auto" w:fill="FFFFFF"/>
        </w:rPr>
      </w:pPr>
    </w:p>
    <w:p w:rsidR="00AA4FB3" w:rsidRPr="00C55D7F" w:rsidRDefault="00AA4FB3" w:rsidP="00AA4F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8"/>
          <w:szCs w:val="26"/>
        </w:rPr>
      </w:pPr>
      <w:r w:rsidRPr="00C55D7F">
        <w:rPr>
          <w:rStyle w:val="Strong"/>
          <w:rFonts w:ascii="Arial" w:hAnsi="Arial" w:cs="Arial"/>
          <w:color w:val="2C2A29"/>
          <w:sz w:val="28"/>
          <w:szCs w:val="26"/>
          <w:bdr w:val="none" w:sz="0" w:space="0" w:color="auto" w:frame="1"/>
        </w:rPr>
        <w:t>Placement Rate*</w:t>
      </w:r>
    </w:p>
    <w:p w:rsidR="00AA4FB3" w:rsidRPr="00AA4FB3" w:rsidRDefault="00AA4FB3" w:rsidP="00AA4F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Cs w:val="26"/>
        </w:rPr>
      </w:pPr>
      <w:r w:rsidRPr="00AA4FB3">
        <w:rPr>
          <w:rFonts w:ascii="Arial" w:hAnsi="Arial" w:cs="Arial"/>
          <w:color w:val="2C2A29"/>
          <w:szCs w:val="26"/>
        </w:rPr>
        <w:t>The following table shows the number of students placed (found employment in the field or closely related field and/or continued their education) within one year of graduation.</w:t>
      </w:r>
    </w:p>
    <w:tbl>
      <w:tblPr>
        <w:tblW w:w="132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93"/>
        <w:gridCol w:w="3561"/>
        <w:gridCol w:w="3791"/>
        <w:gridCol w:w="4375"/>
      </w:tblGrid>
      <w:tr w:rsidR="00AA4FB3" w:rsidRPr="00AA4FB3" w:rsidTr="00AA4FB3">
        <w:trPr>
          <w:trHeight w:val="463"/>
        </w:trPr>
        <w:tc>
          <w:tcPr>
            <w:tcW w:w="14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4FB3" w:rsidRPr="00AA4FB3" w:rsidRDefault="00AA4FB3" w:rsidP="00AA4FB3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 w:rsidRPr="00AA4FB3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6"/>
              </w:rPr>
              <w:t>Class Of May</w:t>
            </w:r>
          </w:p>
        </w:tc>
        <w:tc>
          <w:tcPr>
            <w:tcW w:w="35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4FB3" w:rsidRPr="00AA4FB3" w:rsidRDefault="00AA4FB3" w:rsidP="00AA4FB3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 w:rsidRPr="00AA4FB3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6"/>
              </w:rPr>
              <w:t>Total Graduates</w:t>
            </w:r>
          </w:p>
        </w:tc>
        <w:tc>
          <w:tcPr>
            <w:tcW w:w="37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4FB3" w:rsidRPr="00AA4FB3" w:rsidRDefault="00AA4FB3" w:rsidP="00AA4FB3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 w:rsidRPr="00AA4FB3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6"/>
              </w:rPr>
              <w:t>Placed Graduates</w:t>
            </w:r>
          </w:p>
        </w:tc>
        <w:tc>
          <w:tcPr>
            <w:tcW w:w="43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4FB3" w:rsidRPr="00AA4FB3" w:rsidRDefault="00AA4FB3" w:rsidP="00AA4FB3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 w:rsidRPr="00AA4FB3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6"/>
              </w:rPr>
              <w:t>Placement Rate %</w:t>
            </w:r>
          </w:p>
        </w:tc>
      </w:tr>
      <w:tr w:rsidR="00AA4FB3" w:rsidRPr="00AA4FB3" w:rsidTr="00C90915">
        <w:trPr>
          <w:trHeight w:val="463"/>
        </w:trPr>
        <w:tc>
          <w:tcPr>
            <w:tcW w:w="14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4FB3" w:rsidRPr="00AA4FB3" w:rsidRDefault="00AA4FB3" w:rsidP="00AA4FB3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 w:rsidRPr="00AA4FB3">
              <w:rPr>
                <w:rFonts w:ascii="Calibri" w:eastAsia="Times New Roman" w:hAnsi="Calibri" w:cs="Calibri"/>
                <w:color w:val="000000"/>
                <w:kern w:val="24"/>
                <w:sz w:val="32"/>
                <w:szCs w:val="36"/>
              </w:rPr>
              <w:t>2016</w:t>
            </w:r>
          </w:p>
        </w:tc>
        <w:tc>
          <w:tcPr>
            <w:tcW w:w="35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FB3" w:rsidRPr="00AA4FB3" w:rsidRDefault="00C90915" w:rsidP="00AA4FB3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5</w:t>
            </w:r>
          </w:p>
        </w:tc>
        <w:tc>
          <w:tcPr>
            <w:tcW w:w="37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FB3" w:rsidRPr="00AA4FB3" w:rsidRDefault="00256B40" w:rsidP="00AA4FB3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5</w:t>
            </w:r>
          </w:p>
        </w:tc>
        <w:tc>
          <w:tcPr>
            <w:tcW w:w="43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FB3" w:rsidRPr="00AA4FB3" w:rsidRDefault="00256B40" w:rsidP="00AA4FB3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100</w:t>
            </w:r>
          </w:p>
        </w:tc>
      </w:tr>
      <w:tr w:rsidR="00AA4FB3" w:rsidRPr="00AA4FB3" w:rsidTr="00C90915">
        <w:trPr>
          <w:trHeight w:val="463"/>
        </w:trPr>
        <w:tc>
          <w:tcPr>
            <w:tcW w:w="1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4FB3" w:rsidRPr="00AA4FB3" w:rsidRDefault="00AA4FB3" w:rsidP="00AA4FB3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 w:rsidRPr="00AA4FB3">
              <w:rPr>
                <w:rFonts w:ascii="Calibri" w:eastAsia="Times New Roman" w:hAnsi="Calibri" w:cs="Calibri"/>
                <w:color w:val="000000"/>
                <w:kern w:val="24"/>
                <w:sz w:val="32"/>
                <w:szCs w:val="36"/>
              </w:rPr>
              <w:t>2017</w:t>
            </w:r>
          </w:p>
        </w:tc>
        <w:tc>
          <w:tcPr>
            <w:tcW w:w="3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FB3" w:rsidRPr="00AA4FB3" w:rsidRDefault="00C90915" w:rsidP="00AA4FB3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4</w:t>
            </w:r>
          </w:p>
        </w:tc>
        <w:tc>
          <w:tcPr>
            <w:tcW w:w="3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FB3" w:rsidRPr="00AA4FB3" w:rsidRDefault="00256B40" w:rsidP="00AA4FB3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4</w:t>
            </w:r>
          </w:p>
        </w:tc>
        <w:tc>
          <w:tcPr>
            <w:tcW w:w="4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FB3" w:rsidRPr="00AA4FB3" w:rsidRDefault="00256B40" w:rsidP="00AA4FB3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100</w:t>
            </w:r>
          </w:p>
        </w:tc>
      </w:tr>
      <w:tr w:rsidR="00AA4FB3" w:rsidRPr="00AA4FB3" w:rsidTr="00C90915">
        <w:trPr>
          <w:trHeight w:val="463"/>
        </w:trPr>
        <w:tc>
          <w:tcPr>
            <w:tcW w:w="1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4FB3" w:rsidRPr="00AA4FB3" w:rsidRDefault="00AA4FB3" w:rsidP="00AA4FB3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 w:rsidRPr="00AA4FB3">
              <w:rPr>
                <w:rFonts w:ascii="Calibri" w:eastAsia="Times New Roman" w:hAnsi="Calibri" w:cs="Calibri"/>
                <w:color w:val="000000"/>
                <w:kern w:val="24"/>
                <w:sz w:val="32"/>
                <w:szCs w:val="36"/>
              </w:rPr>
              <w:t>2018</w:t>
            </w:r>
          </w:p>
        </w:tc>
        <w:tc>
          <w:tcPr>
            <w:tcW w:w="3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FB3" w:rsidRPr="00AA4FB3" w:rsidRDefault="00C90915" w:rsidP="00AA4FB3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6</w:t>
            </w:r>
          </w:p>
        </w:tc>
        <w:tc>
          <w:tcPr>
            <w:tcW w:w="3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FB3" w:rsidRPr="00AA4FB3" w:rsidRDefault="00256B40" w:rsidP="00AA4FB3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6</w:t>
            </w:r>
          </w:p>
        </w:tc>
        <w:tc>
          <w:tcPr>
            <w:tcW w:w="4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FB3" w:rsidRPr="00AA4FB3" w:rsidRDefault="00256B40" w:rsidP="00AA4FB3">
            <w:pPr>
              <w:spacing w:after="0" w:line="240" w:lineRule="auto"/>
              <w:rPr>
                <w:rFonts w:eastAsia="Times New Roman" w:cs="Arial"/>
                <w:sz w:val="32"/>
                <w:szCs w:val="36"/>
              </w:rPr>
            </w:pPr>
            <w:r>
              <w:rPr>
                <w:rFonts w:eastAsia="Times New Roman" w:cs="Arial"/>
                <w:sz w:val="32"/>
                <w:szCs w:val="36"/>
              </w:rPr>
              <w:t>100</w:t>
            </w:r>
          </w:p>
        </w:tc>
      </w:tr>
      <w:tr w:rsidR="00AA4FB3" w:rsidRPr="00AA4FB3" w:rsidTr="00AA4FB3">
        <w:trPr>
          <w:trHeight w:val="463"/>
        </w:trPr>
        <w:tc>
          <w:tcPr>
            <w:tcW w:w="1322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4FB3" w:rsidRPr="00AA4FB3" w:rsidRDefault="00AA4FB3" w:rsidP="00256B40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6"/>
              </w:rPr>
            </w:pPr>
            <w:r w:rsidRPr="00AA4FB3">
              <w:rPr>
                <w:rFonts w:ascii="Calibri" w:eastAsia="Times New Roman" w:hAnsi="Calibri" w:cs="Calibri"/>
                <w:color w:val="000000"/>
                <w:kern w:val="24"/>
                <w:sz w:val="32"/>
                <w:szCs w:val="36"/>
              </w:rPr>
              <w:t xml:space="preserve">Three Year Average Placement Rate = </w:t>
            </w:r>
            <w:r w:rsidR="00256B4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6"/>
              </w:rPr>
              <w:t>100</w:t>
            </w:r>
            <w:r w:rsidRPr="00AA4FB3">
              <w:rPr>
                <w:rFonts w:ascii="Calibri" w:eastAsia="Times New Roman" w:hAnsi="Calibri" w:cs="Calibri"/>
                <w:color w:val="000000"/>
                <w:kern w:val="24"/>
                <w:sz w:val="32"/>
                <w:szCs w:val="36"/>
              </w:rPr>
              <w:t>%</w:t>
            </w:r>
          </w:p>
        </w:tc>
      </w:tr>
    </w:tbl>
    <w:p w:rsidR="00AA4FB3" w:rsidRDefault="00AA4FB3" w:rsidP="00AA4FB3">
      <w:pPr>
        <w:rPr>
          <w:rFonts w:cs="Arial"/>
          <w:color w:val="2C2A29"/>
          <w:sz w:val="24"/>
          <w:szCs w:val="26"/>
          <w:shd w:val="clear" w:color="auto" w:fill="FFFFFF"/>
        </w:rPr>
      </w:pPr>
      <w:r w:rsidRPr="002D48FF">
        <w:rPr>
          <w:rFonts w:cs="Arial"/>
          <w:color w:val="2C2A29"/>
          <w:sz w:val="24"/>
          <w:szCs w:val="26"/>
          <w:shd w:val="clear" w:color="auto" w:fill="FFFFFF"/>
        </w:rPr>
        <w:t>*Data presented as defined by NAACLS standards</w:t>
      </w:r>
    </w:p>
    <w:p w:rsidR="00AA4FB3" w:rsidRPr="002D48FF" w:rsidRDefault="00AA4FB3" w:rsidP="002D48FF">
      <w:pPr>
        <w:rPr>
          <w:sz w:val="22"/>
        </w:rPr>
      </w:pPr>
    </w:p>
    <w:p w:rsidR="002D48FF" w:rsidRPr="002D48FF" w:rsidRDefault="002D48FF" w:rsidP="002D48FF">
      <w:pPr>
        <w:pStyle w:val="NormalWeb"/>
        <w:shd w:val="clear" w:color="auto" w:fill="FFFFFF"/>
        <w:spacing w:before="0" w:beforeAutospacing="0" w:after="210" w:afterAutospacing="0"/>
        <w:rPr>
          <w:rFonts w:ascii="Arial" w:hAnsi="Arial" w:cs="Arial"/>
          <w:color w:val="2C2A29"/>
          <w:szCs w:val="26"/>
        </w:rPr>
      </w:pPr>
    </w:p>
    <w:p w:rsidR="002D48FF" w:rsidRPr="002D48FF" w:rsidRDefault="002D48FF" w:rsidP="002D48FF">
      <w:pPr>
        <w:jc w:val="center"/>
        <w:rPr>
          <w:sz w:val="24"/>
        </w:rPr>
      </w:pPr>
    </w:p>
    <w:sectPr w:rsidR="002D48FF" w:rsidRPr="002D48FF" w:rsidSect="00C55D7F">
      <w:pgSz w:w="15840" w:h="12240" w:orient="landscape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FF"/>
    <w:rsid w:val="00256B40"/>
    <w:rsid w:val="002D48FF"/>
    <w:rsid w:val="003B6B6B"/>
    <w:rsid w:val="00482401"/>
    <w:rsid w:val="004E69D9"/>
    <w:rsid w:val="00AA4FB3"/>
    <w:rsid w:val="00C55D7F"/>
    <w:rsid w:val="00C9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3526B-496C-407C-AD21-2036F91F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Courier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4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Health Sciences Center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Butina, Michelle</dc:creator>
  <cp:keywords/>
  <dc:description/>
  <cp:lastModifiedBy>Butina, Michelle</cp:lastModifiedBy>
  <cp:revision>2</cp:revision>
  <dcterms:created xsi:type="dcterms:W3CDTF">2020-01-21T22:25:00Z</dcterms:created>
  <dcterms:modified xsi:type="dcterms:W3CDTF">2020-01-21T22:25:00Z</dcterms:modified>
</cp:coreProperties>
</file>